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03" w:type="dxa"/>
        <w:jc w:val="center"/>
        <w:tblCellSpacing w:w="0" w:type="dxa"/>
        <w:tblInd w:w="97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3"/>
      </w:tblGrid>
      <w:tr>
        <w:tblPrEx>
          <w:shd w:val="clear"/>
          <w:tblLayout w:type="fixed"/>
        </w:tblPrEx>
        <w:trPr>
          <w:tblCellSpacing w:w="0" w:type="dxa"/>
          <w:jc w:val="center"/>
        </w:trPr>
        <w:tc>
          <w:tcPr>
            <w:tcW w:w="120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6"/>
                <w:szCs w:val="36"/>
              </w:rPr>
              <w:t>附件：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instrText xml:space="preserve">INCLUDEPICTURE \d "http://www.sdein.gov.cn/zwgk/gsgg/201608/W020160804520369084883.png" \* MERGEFORMATINET </w:instrTex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drawing>
                <wp:inline distT="0" distB="0" distL="114300" distR="114300">
                  <wp:extent cx="5972175" cy="1238250"/>
                  <wp:effectExtent l="0" t="0" r="9525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200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654AA"/>
    <w:rsid w:val="3BC654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2016-08-04T12:03:00Z</dcterms:created>
  <dc:creator>sky</dc:creator>
  <cp:lastModifiedBy>sky</cp:lastModifiedBy>
  <dcterms:modified xsi:type="dcterms:W3CDTF">2016-08-04T12:05:58Z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